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AF63" w14:textId="567CA4A1" w:rsidR="006D0D19" w:rsidRDefault="006D0D19" w:rsidP="006D0D19">
      <w:pPr>
        <w:pStyle w:val="berschrift2"/>
      </w:pPr>
      <w:r>
        <w:t xml:space="preserve">Checkliste: </w:t>
      </w:r>
      <w:r>
        <w:t>Verein auflösen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1"/>
        <w:gridCol w:w="7598"/>
        <w:gridCol w:w="903"/>
      </w:tblGrid>
      <w:tr w:rsidR="006D0D19" w14:paraId="171FDB90" w14:textId="77777777" w:rsidTr="00CE4B98">
        <w:tc>
          <w:tcPr>
            <w:tcW w:w="562" w:type="dxa"/>
          </w:tcPr>
          <w:p w14:paraId="03BF25F6" w14:textId="77777777" w:rsidR="006D0D19" w:rsidRDefault="006D0D19" w:rsidP="00CE4B98"/>
        </w:tc>
        <w:tc>
          <w:tcPr>
            <w:tcW w:w="7938" w:type="dxa"/>
          </w:tcPr>
          <w:p w14:paraId="571FFC4C" w14:textId="77777777" w:rsidR="006D0D19" w:rsidRDefault="006D0D19" w:rsidP="00CE4B98">
            <w:r>
              <w:t>Zu erledigen:</w:t>
            </w:r>
          </w:p>
        </w:tc>
        <w:tc>
          <w:tcPr>
            <w:tcW w:w="562" w:type="dxa"/>
          </w:tcPr>
          <w:p w14:paraId="011ED6B7" w14:textId="77777777" w:rsidR="006D0D19" w:rsidRDefault="006D0D19" w:rsidP="00CE4B98">
            <w:r>
              <w:t>erledigt</w:t>
            </w:r>
          </w:p>
        </w:tc>
      </w:tr>
      <w:tr w:rsidR="006D0D19" w14:paraId="4FE51910" w14:textId="77777777" w:rsidTr="00CE4B98">
        <w:tc>
          <w:tcPr>
            <w:tcW w:w="562" w:type="dxa"/>
          </w:tcPr>
          <w:p w14:paraId="3C36D5D1" w14:textId="77777777" w:rsidR="006D0D19" w:rsidRDefault="006D0D19" w:rsidP="00CE4B98">
            <w:r>
              <w:t>001</w:t>
            </w:r>
          </w:p>
        </w:tc>
        <w:tc>
          <w:tcPr>
            <w:tcW w:w="7938" w:type="dxa"/>
          </w:tcPr>
          <w:p w14:paraId="1EB5823D" w14:textId="77777777" w:rsidR="006D0D19" w:rsidRDefault="006D0D19" w:rsidP="00CE4B98">
            <w:pPr>
              <w:ind w:left="35"/>
            </w:pPr>
            <w:r>
              <w:t xml:space="preserve">Vorbereitung einer Mitgliederversammlung, Tagesordnungspunkt „Beschluss, den Verein aufzulösen. Folgende Unterlagen zusammenstellen: </w:t>
            </w:r>
            <w:r w:rsidRPr="00586548">
              <w:t>Abschlussbericht</w:t>
            </w:r>
            <w:r>
              <w:t xml:space="preserve">, </w:t>
            </w:r>
            <w:r w:rsidRPr="00586548">
              <w:t>Kassenbericht</w:t>
            </w:r>
            <w:r>
              <w:t xml:space="preserve">, </w:t>
            </w:r>
            <w:r w:rsidRPr="00586548">
              <w:t>Kassenprüfungsbericht</w:t>
            </w:r>
            <w:r>
              <w:t xml:space="preserve">, </w:t>
            </w:r>
            <w:r w:rsidRPr="00586548">
              <w:t>Inventurbericht</w:t>
            </w:r>
            <w:r>
              <w:t xml:space="preserve">, </w:t>
            </w:r>
            <w:r w:rsidRPr="00586548">
              <w:t>Rechenschaftsbericht</w:t>
            </w:r>
            <w:r>
              <w:t>.</w:t>
            </w:r>
          </w:p>
        </w:tc>
        <w:tc>
          <w:tcPr>
            <w:tcW w:w="562" w:type="dxa"/>
          </w:tcPr>
          <w:p w14:paraId="34522F15" w14:textId="77777777" w:rsidR="006D0D19" w:rsidRDefault="006D0D19" w:rsidP="00CE4B98"/>
        </w:tc>
      </w:tr>
      <w:tr w:rsidR="006D0D19" w14:paraId="1710B324" w14:textId="77777777" w:rsidTr="00CE4B98">
        <w:tc>
          <w:tcPr>
            <w:tcW w:w="562" w:type="dxa"/>
          </w:tcPr>
          <w:p w14:paraId="22FF4BE3" w14:textId="77777777" w:rsidR="006D0D19" w:rsidRDefault="006D0D19" w:rsidP="00CE4B98">
            <w:r>
              <w:t>002</w:t>
            </w:r>
          </w:p>
        </w:tc>
        <w:tc>
          <w:tcPr>
            <w:tcW w:w="7938" w:type="dxa"/>
          </w:tcPr>
          <w:p w14:paraId="370F0B79" w14:textId="77777777" w:rsidR="006D0D19" w:rsidRDefault="006D0D19" w:rsidP="00CE4B98">
            <w:pPr>
              <w:ind w:left="35"/>
            </w:pPr>
            <w:r>
              <w:t xml:space="preserve">Form- und fristgerechte Einladung zur Mitgliederversammlung (wie in der Satzung vorgeschrieben). </w:t>
            </w:r>
          </w:p>
        </w:tc>
        <w:tc>
          <w:tcPr>
            <w:tcW w:w="562" w:type="dxa"/>
          </w:tcPr>
          <w:p w14:paraId="5737E9C9" w14:textId="77777777" w:rsidR="006D0D19" w:rsidRDefault="006D0D19" w:rsidP="00CE4B98"/>
        </w:tc>
      </w:tr>
      <w:tr w:rsidR="006D0D19" w14:paraId="485A7FF9" w14:textId="77777777" w:rsidTr="00CE4B98">
        <w:tc>
          <w:tcPr>
            <w:tcW w:w="562" w:type="dxa"/>
          </w:tcPr>
          <w:p w14:paraId="76B52DDD" w14:textId="77777777" w:rsidR="006D0D19" w:rsidRDefault="006D0D19" w:rsidP="00CE4B98">
            <w:r>
              <w:t>003</w:t>
            </w:r>
          </w:p>
        </w:tc>
        <w:tc>
          <w:tcPr>
            <w:tcW w:w="7938" w:type="dxa"/>
          </w:tcPr>
          <w:p w14:paraId="1FAD638F" w14:textId="77777777" w:rsidR="006D0D19" w:rsidRDefault="006D0D19" w:rsidP="00CE4B98">
            <w:pPr>
              <w:ind w:left="35"/>
            </w:pPr>
            <w:r>
              <w:t xml:space="preserve">Beschlussfassung der Mitgliederversammlung. Wenn keine andere Satzungsregelung vorliegt, ist die Auflösung des Vereins beschlossen, wenn </w:t>
            </w:r>
            <w:proofErr w:type="gramStart"/>
            <w:r>
              <w:t>¾  der</w:t>
            </w:r>
            <w:proofErr w:type="gramEnd"/>
            <w:r>
              <w:t xml:space="preserve"> abgegebenen Stimmen dafür votieren.</w:t>
            </w:r>
          </w:p>
        </w:tc>
        <w:tc>
          <w:tcPr>
            <w:tcW w:w="562" w:type="dxa"/>
          </w:tcPr>
          <w:p w14:paraId="59D12A8E" w14:textId="77777777" w:rsidR="006D0D19" w:rsidRDefault="006D0D19" w:rsidP="00CE4B98"/>
        </w:tc>
      </w:tr>
      <w:tr w:rsidR="006D0D19" w14:paraId="49A0DD46" w14:textId="77777777" w:rsidTr="00CE4B98">
        <w:tc>
          <w:tcPr>
            <w:tcW w:w="562" w:type="dxa"/>
          </w:tcPr>
          <w:p w14:paraId="52EC4CFF" w14:textId="77777777" w:rsidR="006D0D19" w:rsidRDefault="006D0D19" w:rsidP="00CE4B98">
            <w:r>
              <w:t>004</w:t>
            </w:r>
          </w:p>
        </w:tc>
        <w:tc>
          <w:tcPr>
            <w:tcW w:w="7938" w:type="dxa"/>
          </w:tcPr>
          <w:p w14:paraId="4E52AECC" w14:textId="77777777" w:rsidR="006D0D19" w:rsidRDefault="006D0D19" w:rsidP="00CE4B98">
            <w:pPr>
              <w:ind w:left="35"/>
            </w:pPr>
            <w:r>
              <w:t>Eventuell Wahl von Liquidatoren. Werden keine Liquidatoren gewählt, sind die Mitglieder des geschäftsführenden Vorstands hierzu bestellt.</w:t>
            </w:r>
          </w:p>
        </w:tc>
        <w:tc>
          <w:tcPr>
            <w:tcW w:w="562" w:type="dxa"/>
          </w:tcPr>
          <w:p w14:paraId="5508B1FB" w14:textId="77777777" w:rsidR="006D0D19" w:rsidRDefault="006D0D19" w:rsidP="00CE4B98"/>
        </w:tc>
      </w:tr>
      <w:tr w:rsidR="006D0D19" w14:paraId="38EE44F3" w14:textId="77777777" w:rsidTr="00CE4B98">
        <w:tc>
          <w:tcPr>
            <w:tcW w:w="562" w:type="dxa"/>
          </w:tcPr>
          <w:p w14:paraId="3B55A045" w14:textId="77777777" w:rsidR="006D0D19" w:rsidRDefault="006D0D19" w:rsidP="00CE4B98">
            <w:r>
              <w:t>005</w:t>
            </w:r>
          </w:p>
        </w:tc>
        <w:tc>
          <w:tcPr>
            <w:tcW w:w="7938" w:type="dxa"/>
          </w:tcPr>
          <w:p w14:paraId="5EF248BD" w14:textId="77777777" w:rsidR="006D0D19" w:rsidRDefault="006D0D19" w:rsidP="00CE4B98">
            <w:pPr>
              <w:ind w:left="35"/>
            </w:pPr>
            <w:r>
              <w:t>Notariell oder öffentlich beglaubigtes Protokoll an das Registergericht senden.</w:t>
            </w:r>
          </w:p>
        </w:tc>
        <w:tc>
          <w:tcPr>
            <w:tcW w:w="562" w:type="dxa"/>
          </w:tcPr>
          <w:p w14:paraId="0FDD540E" w14:textId="77777777" w:rsidR="006D0D19" w:rsidRDefault="006D0D19" w:rsidP="00CE4B98"/>
        </w:tc>
      </w:tr>
      <w:tr w:rsidR="006D0D19" w14:paraId="53EB9E11" w14:textId="77777777" w:rsidTr="00CE4B98">
        <w:tc>
          <w:tcPr>
            <w:tcW w:w="562" w:type="dxa"/>
          </w:tcPr>
          <w:p w14:paraId="27D7EA08" w14:textId="77777777" w:rsidR="006D0D19" w:rsidRDefault="006D0D19" w:rsidP="00CE4B98">
            <w:r>
              <w:t>006</w:t>
            </w:r>
          </w:p>
        </w:tc>
        <w:tc>
          <w:tcPr>
            <w:tcW w:w="7938" w:type="dxa"/>
          </w:tcPr>
          <w:p w14:paraId="213A00E3" w14:textId="77777777" w:rsidR="006D0D19" w:rsidRDefault="006D0D19" w:rsidP="00CE4B98">
            <w:pPr>
              <w:ind w:left="35"/>
            </w:pPr>
            <w:r>
              <w:t>Innerhalb eines Monats nach Auflösungsbeschluss das Finanzamt hierüber informieren.</w:t>
            </w:r>
          </w:p>
        </w:tc>
        <w:tc>
          <w:tcPr>
            <w:tcW w:w="562" w:type="dxa"/>
          </w:tcPr>
          <w:p w14:paraId="4940BEFC" w14:textId="77777777" w:rsidR="006D0D19" w:rsidRDefault="006D0D19" w:rsidP="00CE4B98"/>
        </w:tc>
      </w:tr>
      <w:tr w:rsidR="006D0D19" w14:paraId="01B5CC67" w14:textId="77777777" w:rsidTr="00CE4B98">
        <w:tc>
          <w:tcPr>
            <w:tcW w:w="562" w:type="dxa"/>
          </w:tcPr>
          <w:p w14:paraId="111BC7D2" w14:textId="77777777" w:rsidR="006D0D19" w:rsidRDefault="006D0D19" w:rsidP="00CE4B98">
            <w:r>
              <w:t>007</w:t>
            </w:r>
          </w:p>
        </w:tc>
        <w:tc>
          <w:tcPr>
            <w:tcW w:w="7938" w:type="dxa"/>
          </w:tcPr>
          <w:p w14:paraId="71CD8E5D" w14:textId="77777777" w:rsidR="006D0D19" w:rsidRDefault="006D0D19" w:rsidP="00CE4B98">
            <w:pPr>
              <w:ind w:left="35"/>
            </w:pPr>
            <w:r>
              <w:t xml:space="preserve">Öffentliche Bekanntmachung der Auflösung in den in der Satzung vorgesehenen Medien. Ohne Satzungsregelung: Amtliche Bekanntmachung des Amtsgerichts. In der Bekanntmachung: Aufforderung der Gläubiger sich bei den Liquidatoren zu melden. Mit der Veröffentlichung beginnt das Sperrjahr. Zahlungen dürfen erst nach Ende des Jahres erfolgen. </w:t>
            </w:r>
          </w:p>
        </w:tc>
        <w:tc>
          <w:tcPr>
            <w:tcW w:w="562" w:type="dxa"/>
          </w:tcPr>
          <w:p w14:paraId="75DB8622" w14:textId="77777777" w:rsidR="006D0D19" w:rsidRDefault="006D0D19" w:rsidP="00CE4B98"/>
        </w:tc>
      </w:tr>
      <w:tr w:rsidR="006D0D19" w14:paraId="1D1EF1E9" w14:textId="77777777" w:rsidTr="00CE4B98">
        <w:tc>
          <w:tcPr>
            <w:tcW w:w="562" w:type="dxa"/>
          </w:tcPr>
          <w:p w14:paraId="366F3D3F" w14:textId="77777777" w:rsidR="006D0D19" w:rsidRDefault="006D0D19" w:rsidP="00CE4B98">
            <w:r>
              <w:t>008</w:t>
            </w:r>
          </w:p>
        </w:tc>
        <w:tc>
          <w:tcPr>
            <w:tcW w:w="7938" w:type="dxa"/>
          </w:tcPr>
          <w:p w14:paraId="648D6BB5" w14:textId="77777777" w:rsidR="006D0D19" w:rsidRDefault="006D0D19" w:rsidP="00CE4B98">
            <w:pPr>
              <w:ind w:left="35"/>
            </w:pPr>
            <w:r>
              <w:t>Soweit Gläubiger bekannt sind, diese direkt anschreiben, dass sie ihre Forderungen geltend machen sollen.</w:t>
            </w:r>
          </w:p>
        </w:tc>
        <w:tc>
          <w:tcPr>
            <w:tcW w:w="562" w:type="dxa"/>
          </w:tcPr>
          <w:p w14:paraId="2069FD16" w14:textId="77777777" w:rsidR="006D0D19" w:rsidRDefault="006D0D19" w:rsidP="00CE4B98"/>
        </w:tc>
      </w:tr>
      <w:tr w:rsidR="006D0D19" w14:paraId="7593BB2B" w14:textId="77777777" w:rsidTr="00CE4B98">
        <w:tc>
          <w:tcPr>
            <w:tcW w:w="562" w:type="dxa"/>
          </w:tcPr>
          <w:p w14:paraId="473344F8" w14:textId="77777777" w:rsidR="006D0D19" w:rsidRDefault="006D0D19" w:rsidP="00CE4B98">
            <w:r>
              <w:t>009</w:t>
            </w:r>
          </w:p>
        </w:tc>
        <w:tc>
          <w:tcPr>
            <w:tcW w:w="7938" w:type="dxa"/>
          </w:tcPr>
          <w:p w14:paraId="14E9C952" w14:textId="77777777" w:rsidR="006D0D19" w:rsidRDefault="006D0D19" w:rsidP="00CE4B98">
            <w:pPr>
              <w:ind w:left="414" w:hanging="379"/>
            </w:pPr>
            <w:r>
              <w:t>Abwicklung der noch offenen Posten des Vereins:</w:t>
            </w:r>
          </w:p>
          <w:p w14:paraId="67DCFF7E" w14:textId="77777777" w:rsidR="006D0D19" w:rsidRDefault="006D0D19" w:rsidP="006D0D19">
            <w:pPr>
              <w:pStyle w:val="Listenabsatz"/>
              <w:numPr>
                <w:ilvl w:val="0"/>
                <w:numId w:val="2"/>
              </w:numPr>
              <w:spacing w:line="259" w:lineRule="auto"/>
            </w:pPr>
            <w:r>
              <w:t xml:space="preserve">Abschluss der noch offenen Rechtsgeschäfte, </w:t>
            </w:r>
          </w:p>
          <w:p w14:paraId="24426129" w14:textId="77777777" w:rsidR="006D0D19" w:rsidRDefault="006D0D19" w:rsidP="006D0D19">
            <w:pPr>
              <w:pStyle w:val="Listenabsatz"/>
              <w:numPr>
                <w:ilvl w:val="0"/>
                <w:numId w:val="1"/>
              </w:numPr>
            </w:pPr>
            <w:r>
              <w:t>Abwicklung noch offener Dienste und Arbeitsverhältnisse,</w:t>
            </w:r>
          </w:p>
          <w:p w14:paraId="21963A50" w14:textId="77777777" w:rsidR="006D0D19" w:rsidRDefault="006D0D19" w:rsidP="006D0D19">
            <w:pPr>
              <w:pStyle w:val="Listenabsatz"/>
              <w:numPr>
                <w:ilvl w:val="0"/>
                <w:numId w:val="1"/>
              </w:numPr>
            </w:pPr>
            <w:r>
              <w:t>Erfüllung noch offener steuerlicher Verpflichtungen,</w:t>
            </w:r>
          </w:p>
          <w:p w14:paraId="1B47CF6E" w14:textId="77777777" w:rsidR="006D0D19" w:rsidRDefault="006D0D19" w:rsidP="006D0D19">
            <w:pPr>
              <w:pStyle w:val="Listenabsatz"/>
              <w:numPr>
                <w:ilvl w:val="0"/>
                <w:numId w:val="1"/>
              </w:numPr>
            </w:pPr>
            <w:r>
              <w:t>Vermögensgegenstände des Vereins verwerten,</w:t>
            </w:r>
          </w:p>
          <w:p w14:paraId="2CED6390" w14:textId="77777777" w:rsidR="006D0D19" w:rsidRDefault="006D0D19" w:rsidP="006D0D19">
            <w:pPr>
              <w:pStyle w:val="Listenabsatz"/>
              <w:numPr>
                <w:ilvl w:val="0"/>
                <w:numId w:val="1"/>
              </w:numPr>
            </w:pPr>
            <w:r>
              <w:t>Rückstellung von Beträgen zur Deckung der bei der Abwicklung entstehenden Kosten.</w:t>
            </w:r>
          </w:p>
        </w:tc>
        <w:tc>
          <w:tcPr>
            <w:tcW w:w="562" w:type="dxa"/>
          </w:tcPr>
          <w:p w14:paraId="2A11526C" w14:textId="77777777" w:rsidR="006D0D19" w:rsidRDefault="006D0D19" w:rsidP="00CE4B98"/>
        </w:tc>
      </w:tr>
      <w:tr w:rsidR="006D0D19" w14:paraId="77AA5163" w14:textId="77777777" w:rsidTr="00CE4B98">
        <w:tc>
          <w:tcPr>
            <w:tcW w:w="562" w:type="dxa"/>
          </w:tcPr>
          <w:p w14:paraId="3F805AD4" w14:textId="77777777" w:rsidR="006D0D19" w:rsidRDefault="006D0D19" w:rsidP="00CE4B98">
            <w:r>
              <w:t>010</w:t>
            </w:r>
          </w:p>
        </w:tc>
        <w:tc>
          <w:tcPr>
            <w:tcW w:w="7938" w:type="dxa"/>
          </w:tcPr>
          <w:p w14:paraId="3A295ABF" w14:textId="77777777" w:rsidR="006D0D19" w:rsidRDefault="006D0D19" w:rsidP="00CE4B98">
            <w:pPr>
              <w:ind w:left="414" w:hanging="379"/>
            </w:pPr>
            <w:r>
              <w:t>Nach Ablauf des Sperrjahres: Befriedigung der Forderungen der Gläubiger.</w:t>
            </w:r>
          </w:p>
        </w:tc>
        <w:tc>
          <w:tcPr>
            <w:tcW w:w="562" w:type="dxa"/>
          </w:tcPr>
          <w:p w14:paraId="5F8B2228" w14:textId="77777777" w:rsidR="006D0D19" w:rsidRDefault="006D0D19" w:rsidP="00CE4B98"/>
        </w:tc>
      </w:tr>
      <w:tr w:rsidR="006D0D19" w14:paraId="6891B041" w14:textId="77777777" w:rsidTr="00CE4B98">
        <w:tc>
          <w:tcPr>
            <w:tcW w:w="562" w:type="dxa"/>
          </w:tcPr>
          <w:p w14:paraId="5C0142A4" w14:textId="77777777" w:rsidR="006D0D19" w:rsidRDefault="006D0D19" w:rsidP="00CE4B98">
            <w:r>
              <w:t>011</w:t>
            </w:r>
          </w:p>
        </w:tc>
        <w:tc>
          <w:tcPr>
            <w:tcW w:w="7938" w:type="dxa"/>
          </w:tcPr>
          <w:p w14:paraId="37667B33" w14:textId="77777777" w:rsidR="006D0D19" w:rsidRDefault="006D0D19" w:rsidP="00CE4B98">
            <w:pPr>
              <w:ind w:left="414" w:hanging="379"/>
            </w:pPr>
            <w:r>
              <w:t>Verbleibendes Vereinsvermögen übergeben.</w:t>
            </w:r>
          </w:p>
          <w:p w14:paraId="71912366" w14:textId="77777777" w:rsidR="006D0D19" w:rsidRDefault="006D0D19" w:rsidP="006D0D19">
            <w:pPr>
              <w:pStyle w:val="Listenabsatz"/>
              <w:numPr>
                <w:ilvl w:val="0"/>
                <w:numId w:val="3"/>
              </w:numPr>
              <w:spacing w:line="259" w:lineRule="auto"/>
            </w:pPr>
            <w:r>
              <w:t>an die in der Satzung festgelegten Institution</w:t>
            </w:r>
          </w:p>
          <w:p w14:paraId="6807F205" w14:textId="77777777" w:rsidR="006D0D19" w:rsidRDefault="006D0D19" w:rsidP="006D0D19">
            <w:pPr>
              <w:pStyle w:val="Listenabsatz"/>
              <w:numPr>
                <w:ilvl w:val="0"/>
                <w:numId w:val="3"/>
              </w:numPr>
              <w:spacing w:line="259" w:lineRule="auto"/>
            </w:pPr>
            <w:r>
              <w:t>falls a) nicht gegeben: Institution, die von der Mitgliederversammlung bestimmt wird.</w:t>
            </w:r>
          </w:p>
          <w:p w14:paraId="13DC8E4C" w14:textId="77777777" w:rsidR="006D0D19" w:rsidRDefault="006D0D19" w:rsidP="006D0D19">
            <w:pPr>
              <w:pStyle w:val="Listenabsatz"/>
              <w:numPr>
                <w:ilvl w:val="0"/>
                <w:numId w:val="3"/>
              </w:numPr>
              <w:spacing w:line="259" w:lineRule="auto"/>
            </w:pPr>
            <w:r>
              <w:t>Falls a) und b) nicht gegeben: Verteilung an die Mitglieder oder den Fiskus unter Einhaltung von § 45 Abs. 3 BGB</w:t>
            </w:r>
          </w:p>
        </w:tc>
        <w:tc>
          <w:tcPr>
            <w:tcW w:w="562" w:type="dxa"/>
          </w:tcPr>
          <w:p w14:paraId="0F4BC358" w14:textId="77777777" w:rsidR="006D0D19" w:rsidRDefault="006D0D19" w:rsidP="00CE4B98"/>
        </w:tc>
      </w:tr>
      <w:tr w:rsidR="006D0D19" w14:paraId="531EF995" w14:textId="77777777" w:rsidTr="00CE4B98">
        <w:tc>
          <w:tcPr>
            <w:tcW w:w="562" w:type="dxa"/>
          </w:tcPr>
          <w:p w14:paraId="38238AAD" w14:textId="77777777" w:rsidR="006D0D19" w:rsidRDefault="006D0D19" w:rsidP="00CE4B98">
            <w:r>
              <w:t>012</w:t>
            </w:r>
          </w:p>
        </w:tc>
        <w:tc>
          <w:tcPr>
            <w:tcW w:w="7938" w:type="dxa"/>
          </w:tcPr>
          <w:p w14:paraId="468BD940" w14:textId="77777777" w:rsidR="006D0D19" w:rsidRDefault="006D0D19" w:rsidP="00CE4B98">
            <w:pPr>
              <w:ind w:left="35"/>
            </w:pPr>
            <w:r>
              <w:t xml:space="preserve">Information des Registergerichts per öffentlich oder notariell beglaubigen Schreibens, dass die Liquidation abgeschlossen ist. </w:t>
            </w:r>
          </w:p>
        </w:tc>
        <w:tc>
          <w:tcPr>
            <w:tcW w:w="562" w:type="dxa"/>
          </w:tcPr>
          <w:p w14:paraId="7E1A543F" w14:textId="77777777" w:rsidR="006D0D19" w:rsidRDefault="006D0D19" w:rsidP="00CE4B98"/>
        </w:tc>
      </w:tr>
    </w:tbl>
    <w:p w14:paraId="1851F4F2" w14:textId="77777777" w:rsidR="001408A1" w:rsidRDefault="001408A1"/>
    <w:sectPr w:rsidR="001408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23D7"/>
    <w:multiLevelType w:val="hybridMultilevel"/>
    <w:tmpl w:val="45705CC8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456410D"/>
    <w:multiLevelType w:val="hybridMultilevel"/>
    <w:tmpl w:val="B1047DB0"/>
    <w:lvl w:ilvl="0" w:tplc="04070017">
      <w:start w:val="1"/>
      <w:numFmt w:val="lowerLetter"/>
      <w:lvlText w:val="%1)"/>
      <w:lvlJc w:val="left"/>
      <w:pPr>
        <w:ind w:left="755" w:hanging="360"/>
      </w:pPr>
    </w:lvl>
    <w:lvl w:ilvl="1" w:tplc="04070019" w:tentative="1">
      <w:start w:val="1"/>
      <w:numFmt w:val="lowerLetter"/>
      <w:lvlText w:val="%2."/>
      <w:lvlJc w:val="left"/>
      <w:pPr>
        <w:ind w:left="1475" w:hanging="360"/>
      </w:pPr>
    </w:lvl>
    <w:lvl w:ilvl="2" w:tplc="0407001B" w:tentative="1">
      <w:start w:val="1"/>
      <w:numFmt w:val="lowerRoman"/>
      <w:lvlText w:val="%3."/>
      <w:lvlJc w:val="right"/>
      <w:pPr>
        <w:ind w:left="2195" w:hanging="180"/>
      </w:pPr>
    </w:lvl>
    <w:lvl w:ilvl="3" w:tplc="0407000F" w:tentative="1">
      <w:start w:val="1"/>
      <w:numFmt w:val="decimal"/>
      <w:lvlText w:val="%4."/>
      <w:lvlJc w:val="left"/>
      <w:pPr>
        <w:ind w:left="2915" w:hanging="360"/>
      </w:pPr>
    </w:lvl>
    <w:lvl w:ilvl="4" w:tplc="04070019" w:tentative="1">
      <w:start w:val="1"/>
      <w:numFmt w:val="lowerLetter"/>
      <w:lvlText w:val="%5."/>
      <w:lvlJc w:val="left"/>
      <w:pPr>
        <w:ind w:left="3635" w:hanging="360"/>
      </w:pPr>
    </w:lvl>
    <w:lvl w:ilvl="5" w:tplc="0407001B" w:tentative="1">
      <w:start w:val="1"/>
      <w:numFmt w:val="lowerRoman"/>
      <w:lvlText w:val="%6."/>
      <w:lvlJc w:val="right"/>
      <w:pPr>
        <w:ind w:left="4355" w:hanging="180"/>
      </w:pPr>
    </w:lvl>
    <w:lvl w:ilvl="6" w:tplc="0407000F" w:tentative="1">
      <w:start w:val="1"/>
      <w:numFmt w:val="decimal"/>
      <w:lvlText w:val="%7."/>
      <w:lvlJc w:val="left"/>
      <w:pPr>
        <w:ind w:left="5075" w:hanging="360"/>
      </w:pPr>
    </w:lvl>
    <w:lvl w:ilvl="7" w:tplc="04070019" w:tentative="1">
      <w:start w:val="1"/>
      <w:numFmt w:val="lowerLetter"/>
      <w:lvlText w:val="%8."/>
      <w:lvlJc w:val="left"/>
      <w:pPr>
        <w:ind w:left="5795" w:hanging="360"/>
      </w:pPr>
    </w:lvl>
    <w:lvl w:ilvl="8" w:tplc="0407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56A65939"/>
    <w:multiLevelType w:val="hybridMultilevel"/>
    <w:tmpl w:val="4A54FE06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872884824">
    <w:abstractNumId w:val="2"/>
  </w:num>
  <w:num w:numId="2" w16cid:durableId="1320040365">
    <w:abstractNumId w:val="0"/>
  </w:num>
  <w:num w:numId="3" w16cid:durableId="129394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19"/>
    <w:rsid w:val="001408A1"/>
    <w:rsid w:val="006D0D19"/>
    <w:rsid w:val="00C16F25"/>
    <w:rsid w:val="00E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AF1F"/>
  <w15:chartTrackingRefBased/>
  <w15:docId w15:val="{24E33CE2-5C27-409D-A4F8-2FD62A12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0D19"/>
    <w:pPr>
      <w:spacing w:line="256" w:lineRule="auto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0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0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0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0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0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0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0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0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0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0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0D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0D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0D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0D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0D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0D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0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0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0D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0D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0D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0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0D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0D1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D0D1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Vandenryt</dc:creator>
  <cp:keywords/>
  <dc:description/>
  <cp:lastModifiedBy>Lisa Vandenryt</cp:lastModifiedBy>
  <cp:revision>1</cp:revision>
  <dcterms:created xsi:type="dcterms:W3CDTF">2025-04-25T07:41:00Z</dcterms:created>
  <dcterms:modified xsi:type="dcterms:W3CDTF">2025-04-25T07:42:00Z</dcterms:modified>
</cp:coreProperties>
</file>